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B2" w:rsidRDefault="001255B2" w:rsidP="001255B2">
      <w:pPr>
        <w:pStyle w:val="a3"/>
        <w:jc w:val="both"/>
      </w:pPr>
      <w:r>
        <w:t xml:space="preserve">В июле 2023 года Минфин одобрил выделение грантов на общую сумму 11 млрд руб. для разработки IT-решений по </w:t>
      </w:r>
      <w:proofErr w:type="spellStart"/>
      <w:r>
        <w:t>импортозамещению</w:t>
      </w:r>
      <w:proofErr w:type="spellEnd"/>
      <w:r>
        <w:t xml:space="preserve"> иностранного ПО. До этого в 2022 году правительство выделило на развитие этой сферы в целом более 26 млрд руб.: от грантов и льготных кредитов до специальной ипотеки для специалистов.</w:t>
      </w:r>
      <w:r>
        <w:br/>
      </w:r>
      <w:r>
        <w:br/>
        <w:t xml:space="preserve">Финансовая поддержка одной из ключевых отраслей экономики проводится по национальному проекту «Цифровая экономика», инициированному президентом России. Цель нацпроекта — ускоренно внедрять цифровые технологии в экономику, преимущественно на базе отечественных разработок. Для этого, например, в стране создается информационная инфраструктура, идет подготовка квалифицированных кадров и перевод </w:t>
      </w:r>
      <w:proofErr w:type="spellStart"/>
      <w:r>
        <w:t>госуслуг</w:t>
      </w:r>
      <w:proofErr w:type="spellEnd"/>
      <w:r>
        <w:t xml:space="preserve"> в электронную форму.</w:t>
      </w:r>
      <w:r>
        <w:br/>
      </w:r>
      <w:r>
        <w:br/>
        <w:t>«Почти 80% зарубежного ПО уже имеет отечественные аналоги. У более чем половины всех представленных на рынке российских решений средний и высокий уровень зрелости», — отмечал зампредседателя российского правительства Дмитрий Чернышенко.</w:t>
      </w:r>
      <w:r>
        <w:br/>
      </w:r>
      <w:r>
        <w:br/>
        <w:t>По его словам, доходы российских IT-компаний в 2022 году выросли на 35,3%. «Такие меры [как выдача грантов] стали фактором роста этой отрасли, развития отечественных цифровых продуктов, увеличения числа IT-компаний», — добавил Чернышенко. Кроме того, с 2022 года разработчики могут покрывать 80% стоимости проекта с помощью грантов, что также способствует развитию отрасли.</w:t>
      </w:r>
      <w:r>
        <w:br/>
      </w:r>
      <w:r>
        <w:br/>
      </w:r>
      <w:r>
        <w:rPr>
          <w:rStyle w:val="a4"/>
        </w:rPr>
        <w:t>Какие есть фонды и как они поддерживают IT-отрасль</w:t>
      </w:r>
    </w:p>
    <w:p w:rsidR="001255B2" w:rsidRDefault="001255B2" w:rsidP="001255B2">
      <w:pPr>
        <w:pStyle w:val="a3"/>
        <w:jc w:val="both"/>
      </w:pPr>
      <w:r>
        <w:t>Оказывают финансовую поддержку российским IT-компаниям Российский фонд развития информационных технологий (РФРИТ), Фонд «</w:t>
      </w:r>
      <w:proofErr w:type="spellStart"/>
      <w:r>
        <w:t>Сколково</w:t>
      </w:r>
      <w:proofErr w:type="spellEnd"/>
      <w:r>
        <w:t>» и Фонд содействия инновациям (ФСИ). Фонд развития интернет-инициатив (ФРИИ) через акселерационную программу «Спринт» также помогает развивать бизнес для IT-компаний с тестовой версией продукта.</w:t>
      </w:r>
    </w:p>
    <w:p w:rsidR="007E2CCF" w:rsidRDefault="001255B2">
      <w:bookmarkStart w:id="0" w:name="_GoBack"/>
      <w:bookmarkEnd w:id="0"/>
    </w:p>
    <w:sectPr w:rsidR="007E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EC"/>
    <w:rsid w:val="001255B2"/>
    <w:rsid w:val="008627DF"/>
    <w:rsid w:val="009C1CEC"/>
    <w:rsid w:val="00A8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688CF-8D8C-495E-8060-B40D8DD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55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Nick-I5</dc:creator>
  <cp:keywords/>
  <dc:description/>
  <cp:lastModifiedBy>Nick-I5</cp:lastModifiedBy>
  <cp:revision>2</cp:revision>
  <dcterms:created xsi:type="dcterms:W3CDTF">2023-10-12T01:12:00Z</dcterms:created>
  <dcterms:modified xsi:type="dcterms:W3CDTF">2023-10-12T01:12:00Z</dcterms:modified>
</cp:coreProperties>
</file>